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CEE7D" w14:textId="77777777" w:rsidR="00E11482" w:rsidRPr="00B40143" w:rsidRDefault="00E11482" w:rsidP="00E11482">
      <w:pPr>
        <w:pStyle w:val="Style25"/>
        <w:widowControl/>
        <w:spacing w:line="312" w:lineRule="auto"/>
        <w:rPr>
          <w:rStyle w:val="FontStyle74"/>
          <w:b/>
          <w:sz w:val="24"/>
          <w:szCs w:val="24"/>
          <w:u w:val="single"/>
        </w:rPr>
      </w:pPr>
      <w:r w:rsidRPr="00B40143">
        <w:rPr>
          <w:rStyle w:val="FontStyle74"/>
          <w:b/>
          <w:sz w:val="24"/>
          <w:szCs w:val="24"/>
          <w:u w:val="single"/>
        </w:rPr>
        <w:t>Ważny komunikat dla beneficjentów poddziałań 19.2 i 19.4</w:t>
      </w:r>
    </w:p>
    <w:p w14:paraId="3E562433" w14:textId="77777777" w:rsidR="00E11482" w:rsidRDefault="00E11482" w:rsidP="00AD5813">
      <w:pPr>
        <w:pStyle w:val="Style25"/>
        <w:widowControl/>
        <w:spacing w:line="312" w:lineRule="auto"/>
        <w:ind w:firstLine="708"/>
        <w:rPr>
          <w:rStyle w:val="FontStyle74"/>
          <w:sz w:val="24"/>
          <w:szCs w:val="24"/>
        </w:rPr>
      </w:pPr>
    </w:p>
    <w:p w14:paraId="09B79CDC" w14:textId="77777777" w:rsidR="00AD5813" w:rsidRDefault="00AD5813" w:rsidP="00AD5813">
      <w:pPr>
        <w:pStyle w:val="Style25"/>
        <w:widowControl/>
        <w:spacing w:line="312" w:lineRule="auto"/>
        <w:ind w:firstLine="708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>W związku z wejściem</w:t>
      </w:r>
      <w:r w:rsidRPr="00AD5813">
        <w:rPr>
          <w:rStyle w:val="FontStyle74"/>
          <w:sz w:val="24"/>
          <w:szCs w:val="24"/>
        </w:rPr>
        <w:t xml:space="preserve"> w życie przepisów zmieniających ustawę</w:t>
      </w:r>
      <w:r w:rsidR="00E11482">
        <w:rPr>
          <w:rStyle w:val="FontStyle74"/>
          <w:sz w:val="24"/>
          <w:szCs w:val="24"/>
        </w:rPr>
        <w:t xml:space="preserve"> z</w:t>
      </w:r>
      <w:r w:rsidRPr="00AD5813">
        <w:rPr>
          <w:rStyle w:val="FontStyle74"/>
          <w:sz w:val="24"/>
          <w:szCs w:val="24"/>
        </w:rPr>
        <w:t xml:space="preserve"> dnia 20 lutego </w:t>
      </w:r>
      <w:r w:rsidR="00F80629">
        <w:rPr>
          <w:rStyle w:val="FontStyle74"/>
          <w:sz w:val="24"/>
          <w:szCs w:val="24"/>
        </w:rPr>
        <w:br/>
      </w:r>
      <w:r w:rsidRPr="00AD5813">
        <w:rPr>
          <w:rStyle w:val="FontStyle74"/>
          <w:sz w:val="24"/>
          <w:szCs w:val="24"/>
        </w:rPr>
        <w:t>2015 r. o wspieraniu rozwoju obszarów wiejskich z udziałem środków Europejskiego Funduszu Rolnego na rzecz Rozwoju Obszarów Wiejskich w ramach Programu Rozwoju Obszarów Wiejskich na lata</w:t>
      </w:r>
      <w:r w:rsidR="00932FAB">
        <w:rPr>
          <w:rStyle w:val="FontStyle74"/>
          <w:sz w:val="24"/>
          <w:szCs w:val="24"/>
        </w:rPr>
        <w:t xml:space="preserve"> </w:t>
      </w:r>
      <w:r w:rsidRPr="00AD5813">
        <w:rPr>
          <w:rStyle w:val="FontStyle74"/>
          <w:sz w:val="24"/>
          <w:szCs w:val="24"/>
        </w:rPr>
        <w:t xml:space="preserve">2014-2020 (Dz. U. z 2020 r. poz. 217 </w:t>
      </w:r>
      <w:r w:rsidR="00315055">
        <w:rPr>
          <w:rStyle w:val="FontStyle74"/>
          <w:sz w:val="24"/>
          <w:szCs w:val="24"/>
        </w:rPr>
        <w:t xml:space="preserve">z </w:t>
      </w:r>
      <w:proofErr w:type="spellStart"/>
      <w:r w:rsidR="00315055">
        <w:rPr>
          <w:rStyle w:val="FontStyle74"/>
          <w:sz w:val="24"/>
          <w:szCs w:val="24"/>
        </w:rPr>
        <w:t>późn</w:t>
      </w:r>
      <w:proofErr w:type="spellEnd"/>
      <w:r w:rsidR="00315055">
        <w:rPr>
          <w:rStyle w:val="FontStyle74"/>
          <w:sz w:val="24"/>
          <w:szCs w:val="24"/>
        </w:rPr>
        <w:t>. zm.</w:t>
      </w:r>
      <w:r w:rsidRPr="00AD5813">
        <w:rPr>
          <w:rStyle w:val="FontStyle74"/>
          <w:sz w:val="24"/>
          <w:szCs w:val="24"/>
        </w:rPr>
        <w:t xml:space="preserve">) wprowadzonych ustawą </w:t>
      </w:r>
      <w:r w:rsidR="00F80629">
        <w:rPr>
          <w:rStyle w:val="FontStyle74"/>
          <w:sz w:val="24"/>
          <w:szCs w:val="24"/>
        </w:rPr>
        <w:br/>
      </w:r>
      <w:r w:rsidRPr="00AD5813">
        <w:rPr>
          <w:rStyle w:val="FontStyle74"/>
          <w:sz w:val="24"/>
          <w:szCs w:val="24"/>
        </w:rPr>
        <w:t xml:space="preserve">z dnia 16 kwietnia 2020 r. o szczególnych instrumentach wsparcia w związku </w:t>
      </w:r>
      <w:r w:rsidR="00F80629">
        <w:rPr>
          <w:rStyle w:val="FontStyle74"/>
          <w:sz w:val="24"/>
          <w:szCs w:val="24"/>
        </w:rPr>
        <w:br/>
      </w:r>
      <w:r w:rsidRPr="00AD5813">
        <w:rPr>
          <w:rStyle w:val="FontStyle74"/>
          <w:sz w:val="24"/>
          <w:szCs w:val="24"/>
        </w:rPr>
        <w:t>z rozprzestrzenianiem się wirusa SARS-CoV-2 (Dz. U. poz. 695)</w:t>
      </w:r>
      <w:r>
        <w:rPr>
          <w:rStyle w:val="FontStyle74"/>
          <w:sz w:val="24"/>
          <w:szCs w:val="24"/>
        </w:rPr>
        <w:t xml:space="preserve"> poniżej przedstawiamy </w:t>
      </w:r>
      <w:r w:rsidRPr="00AD5813">
        <w:rPr>
          <w:rStyle w:val="FontStyle74"/>
          <w:sz w:val="24"/>
          <w:szCs w:val="24"/>
        </w:rPr>
        <w:t xml:space="preserve">szczegółowe wyjaśnienia </w:t>
      </w:r>
      <w:r w:rsidRPr="00AD7686">
        <w:rPr>
          <w:rStyle w:val="FontStyle74"/>
          <w:sz w:val="24"/>
          <w:szCs w:val="24"/>
        </w:rPr>
        <w:t xml:space="preserve">Ministerstwa Rolnictwa i </w:t>
      </w:r>
      <w:r w:rsidRPr="00AD5813">
        <w:rPr>
          <w:rStyle w:val="FontStyle74"/>
          <w:sz w:val="24"/>
          <w:szCs w:val="24"/>
        </w:rPr>
        <w:t>Rozwoju</w:t>
      </w:r>
      <w:r w:rsidRPr="00AD7686">
        <w:rPr>
          <w:rStyle w:val="FontStyle74"/>
          <w:sz w:val="24"/>
          <w:szCs w:val="24"/>
        </w:rPr>
        <w:t xml:space="preserve"> Wsi </w:t>
      </w:r>
      <w:r w:rsidRPr="00AD5813">
        <w:rPr>
          <w:rStyle w:val="FontStyle74"/>
          <w:sz w:val="24"/>
          <w:szCs w:val="24"/>
        </w:rPr>
        <w:t xml:space="preserve">dotyczące stosowania zmienionych przepisów oraz rozwiązań w ramach poddziałania </w:t>
      </w:r>
      <w:r w:rsidRPr="00DB569D">
        <w:rPr>
          <w:rStyle w:val="FontStyle74"/>
          <w:i/>
          <w:sz w:val="24"/>
          <w:szCs w:val="24"/>
          <w:u w:val="single"/>
        </w:rPr>
        <w:t>19.2 „Wsparcie na wdrażanie operacji w ramach strategii rozwoju lokalnego kierowanego przez społeczność"</w:t>
      </w:r>
      <w:r w:rsidRPr="00AD5813">
        <w:rPr>
          <w:rStyle w:val="FontStyle74"/>
          <w:sz w:val="24"/>
          <w:szCs w:val="24"/>
        </w:rPr>
        <w:t xml:space="preserve"> </w:t>
      </w:r>
      <w:r w:rsidR="00CD20B2">
        <w:rPr>
          <w:rStyle w:val="FontStyle74"/>
          <w:sz w:val="24"/>
          <w:szCs w:val="24"/>
        </w:rPr>
        <w:br/>
      </w:r>
      <w:r w:rsidR="00315055">
        <w:rPr>
          <w:rStyle w:val="FontStyle74"/>
          <w:sz w:val="24"/>
          <w:szCs w:val="24"/>
        </w:rPr>
        <w:t xml:space="preserve">oraz </w:t>
      </w:r>
      <w:r w:rsidR="00315055" w:rsidRPr="00315055">
        <w:rPr>
          <w:rStyle w:val="FontStyle74"/>
          <w:sz w:val="24"/>
          <w:szCs w:val="24"/>
        </w:rPr>
        <w:t xml:space="preserve">poddziałania </w:t>
      </w:r>
      <w:r w:rsidR="00315055" w:rsidRPr="00DB569D">
        <w:rPr>
          <w:rStyle w:val="FontStyle74"/>
          <w:i/>
          <w:sz w:val="24"/>
          <w:szCs w:val="24"/>
          <w:u w:val="single"/>
        </w:rPr>
        <w:t>19.4 „</w:t>
      </w:r>
      <w:r w:rsidR="00315055" w:rsidRPr="00DB569D">
        <w:rPr>
          <w:rStyle w:val="FontStyle74"/>
          <w:i/>
          <w:iCs/>
          <w:sz w:val="24"/>
          <w:szCs w:val="24"/>
          <w:u w:val="single"/>
        </w:rPr>
        <w:t>Wsparcie na rzecz kosztów bieżących i aktywizacji”</w:t>
      </w:r>
      <w:r w:rsidR="00315055" w:rsidRPr="00AD5813">
        <w:rPr>
          <w:rStyle w:val="FontStyle74"/>
          <w:sz w:val="24"/>
          <w:szCs w:val="24"/>
        </w:rPr>
        <w:t xml:space="preserve"> </w:t>
      </w:r>
      <w:r w:rsidRPr="00AD5813">
        <w:rPr>
          <w:rStyle w:val="FontStyle74"/>
          <w:sz w:val="24"/>
          <w:szCs w:val="24"/>
        </w:rPr>
        <w:t>objęt</w:t>
      </w:r>
      <w:r w:rsidR="00315055">
        <w:rPr>
          <w:rStyle w:val="FontStyle74"/>
          <w:sz w:val="24"/>
          <w:szCs w:val="24"/>
        </w:rPr>
        <w:t>ych</w:t>
      </w:r>
      <w:r w:rsidRPr="00AD5813">
        <w:rPr>
          <w:rStyle w:val="FontStyle74"/>
          <w:sz w:val="24"/>
          <w:szCs w:val="24"/>
        </w:rPr>
        <w:t xml:space="preserve"> </w:t>
      </w:r>
      <w:r w:rsidR="00CD20B2">
        <w:rPr>
          <w:rStyle w:val="FontStyle74"/>
          <w:sz w:val="24"/>
          <w:szCs w:val="24"/>
        </w:rPr>
        <w:br/>
      </w:r>
      <w:r w:rsidRPr="00AD5813">
        <w:rPr>
          <w:rStyle w:val="FontStyle74"/>
          <w:sz w:val="24"/>
          <w:szCs w:val="24"/>
        </w:rPr>
        <w:t>PROW 2014-2020</w:t>
      </w:r>
      <w:r>
        <w:rPr>
          <w:rStyle w:val="FontStyle74"/>
          <w:sz w:val="24"/>
          <w:szCs w:val="24"/>
        </w:rPr>
        <w:t>.</w:t>
      </w:r>
    </w:p>
    <w:p w14:paraId="64095FB6" w14:textId="77777777" w:rsidR="00AD5813" w:rsidRDefault="00AD5813" w:rsidP="00AD5813">
      <w:pPr>
        <w:pStyle w:val="Style25"/>
        <w:widowControl/>
        <w:spacing w:line="312" w:lineRule="auto"/>
        <w:rPr>
          <w:rStyle w:val="FontStyle74"/>
          <w:sz w:val="24"/>
          <w:szCs w:val="24"/>
        </w:rPr>
      </w:pPr>
    </w:p>
    <w:p w14:paraId="56A9C75F" w14:textId="77777777" w:rsidR="00AD5813" w:rsidRPr="00F80629" w:rsidRDefault="00AD5813" w:rsidP="00AD5813">
      <w:pPr>
        <w:pStyle w:val="Style25"/>
        <w:widowControl/>
        <w:spacing w:line="312" w:lineRule="auto"/>
        <w:rPr>
          <w:rStyle w:val="FontStyle74"/>
          <w:b/>
        </w:rPr>
      </w:pPr>
      <w:r w:rsidRPr="00F80629">
        <w:rPr>
          <w:rStyle w:val="FontStyle74"/>
          <w:b/>
          <w:sz w:val="24"/>
          <w:szCs w:val="24"/>
        </w:rPr>
        <w:t xml:space="preserve">1. </w:t>
      </w:r>
      <w:r w:rsidRPr="00F80629">
        <w:rPr>
          <w:rStyle w:val="FontStyle74"/>
          <w:b/>
          <w:sz w:val="24"/>
          <w:szCs w:val="24"/>
          <w:u w:val="single"/>
        </w:rPr>
        <w:t>Zobowiązanie do realizacji operacji w określonym terminie.</w:t>
      </w:r>
    </w:p>
    <w:p w14:paraId="4A5263D3" w14:textId="77777777" w:rsidR="00924376" w:rsidRDefault="00924376" w:rsidP="00AD5813">
      <w:pPr>
        <w:pStyle w:val="Style25"/>
        <w:widowControl/>
        <w:spacing w:line="312" w:lineRule="auto"/>
        <w:ind w:firstLine="696"/>
        <w:rPr>
          <w:rStyle w:val="FontStyle74"/>
          <w:sz w:val="24"/>
          <w:szCs w:val="24"/>
        </w:rPr>
      </w:pPr>
    </w:p>
    <w:p w14:paraId="55CC6719" w14:textId="77777777" w:rsidR="00AD5813" w:rsidRPr="00AD7686" w:rsidRDefault="00AD5813" w:rsidP="00AD5813">
      <w:pPr>
        <w:pStyle w:val="Style25"/>
        <w:widowControl/>
        <w:spacing w:line="312" w:lineRule="auto"/>
        <w:ind w:firstLine="696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t>Zgodnie z art. 67b ust. 3 możliwe jest spełnienie przez beneficjenta poddziałania 19.2 warunków wypłaty pomocy lub zrealizowanie innych zobowiązań związanych z przyznaną pomocą, w terminie późniejszym uzgodnionym z samorządem, który przyznał tę pomoc. Jednocześnie,</w:t>
      </w:r>
      <w:r w:rsidRPr="00AD5813">
        <w:rPr>
          <w:rStyle w:val="FontStyle74"/>
          <w:sz w:val="24"/>
          <w:szCs w:val="24"/>
        </w:rPr>
        <w:t xml:space="preserve"> rozwiązanie to znajduje </w:t>
      </w:r>
      <w:proofErr w:type="gramStart"/>
      <w:r w:rsidRPr="00AD5813">
        <w:rPr>
          <w:rStyle w:val="FontStyle74"/>
          <w:sz w:val="24"/>
          <w:szCs w:val="24"/>
        </w:rPr>
        <w:t>z</w:t>
      </w:r>
      <w:r w:rsidRPr="00AD7686">
        <w:rPr>
          <w:rStyle w:val="FontStyle74"/>
          <w:sz w:val="24"/>
          <w:szCs w:val="24"/>
        </w:rPr>
        <w:t>astosowanie</w:t>
      </w:r>
      <w:proofErr w:type="gramEnd"/>
      <w:r w:rsidRPr="00AD7686">
        <w:rPr>
          <w:rStyle w:val="FontStyle74"/>
          <w:sz w:val="24"/>
          <w:szCs w:val="24"/>
        </w:rPr>
        <w:t xml:space="preserve"> jeśli w okresie obowiązywania stanu zagrożenia epidemicznego lub stanu epidemii lub wprowadzenia stanu nadzwyczajnego, b</w:t>
      </w:r>
      <w:r w:rsidRPr="00AD5813">
        <w:rPr>
          <w:rStyle w:val="FontStyle74"/>
          <w:sz w:val="24"/>
          <w:szCs w:val="24"/>
        </w:rPr>
        <w:t>eneficjent nie mógł spełnić lub</w:t>
      </w:r>
      <w:r>
        <w:rPr>
          <w:rStyle w:val="FontStyle74"/>
          <w:sz w:val="24"/>
          <w:szCs w:val="24"/>
        </w:rPr>
        <w:t xml:space="preserve"> </w:t>
      </w:r>
      <w:r w:rsidRPr="00AD7686">
        <w:rPr>
          <w:rStyle w:val="FontStyle74"/>
          <w:sz w:val="24"/>
          <w:szCs w:val="24"/>
        </w:rPr>
        <w:t xml:space="preserve">zrealizować tych warunków lub zobowiązań. W tym rozwiązaniu nadal obowiązuje zasada, że pomoc wypłacana jest po spełnieniu warunków; </w:t>
      </w:r>
      <w:r w:rsidR="00123D12">
        <w:rPr>
          <w:rStyle w:val="FontStyle74"/>
          <w:sz w:val="24"/>
          <w:szCs w:val="24"/>
        </w:rPr>
        <w:br/>
      </w:r>
      <w:r w:rsidRPr="00AD7686">
        <w:rPr>
          <w:rStyle w:val="FontStyle74"/>
          <w:sz w:val="24"/>
          <w:szCs w:val="24"/>
        </w:rPr>
        <w:t>w szczególności rozwiązanie to dotyczy warunków, które mają być spełnione w terminie przewidzianym na realizację operacji. Tym samym beneficjent może zrealizować operację także w terminie późniejszym, uzgodnionym z podmiotem wdrażającym, nie później jednak niż do dnia 31 grudnia 2022 r., przy czym jednorazowo podmiot wdrażający nie powinien uzgadniać wydłużenia terminu o więcej niż 6 miesięcy.</w:t>
      </w:r>
    </w:p>
    <w:p w14:paraId="1D9C14EF" w14:textId="77777777" w:rsidR="00AD5813" w:rsidRPr="00AD7686" w:rsidRDefault="00AD5813" w:rsidP="00AD5813">
      <w:pPr>
        <w:pStyle w:val="Style26"/>
        <w:widowControl/>
        <w:spacing w:line="312" w:lineRule="auto"/>
        <w:ind w:firstLine="696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t>Powyższe ma również zastosowanie w odniesieniu do wydłużania 3-miesięcznego terminu na składanie wniosku o płatność pierwszej transzy liczonego od dnia zawarcia umowy na wniosek beneficjenta w przypadku operacji polegających na podejmowaniu działalności gospodarczej.</w:t>
      </w:r>
    </w:p>
    <w:p w14:paraId="07DBC90E" w14:textId="77777777" w:rsidR="00F90D22" w:rsidRDefault="00F90D22" w:rsidP="00F90D22">
      <w:pPr>
        <w:pStyle w:val="Style26"/>
        <w:widowControl/>
        <w:spacing w:line="312" w:lineRule="auto"/>
        <w:ind w:firstLine="0"/>
        <w:rPr>
          <w:rStyle w:val="FontStyle74"/>
          <w:sz w:val="24"/>
          <w:szCs w:val="24"/>
        </w:rPr>
      </w:pPr>
    </w:p>
    <w:p w14:paraId="15BCC25B" w14:textId="77777777" w:rsidR="00AD5813" w:rsidRPr="00D229D8" w:rsidRDefault="00AD5813" w:rsidP="00F90D22">
      <w:pPr>
        <w:pStyle w:val="Style26"/>
        <w:widowControl/>
        <w:spacing w:line="312" w:lineRule="auto"/>
        <w:ind w:firstLine="0"/>
        <w:rPr>
          <w:rStyle w:val="FontStyle74"/>
          <w:b/>
          <w:sz w:val="24"/>
          <w:szCs w:val="24"/>
        </w:rPr>
      </w:pPr>
      <w:r w:rsidRPr="00D229D8">
        <w:rPr>
          <w:rStyle w:val="FontStyle74"/>
          <w:b/>
          <w:sz w:val="24"/>
          <w:szCs w:val="24"/>
        </w:rPr>
        <w:t xml:space="preserve">2. </w:t>
      </w:r>
      <w:r w:rsidRPr="00D229D8">
        <w:rPr>
          <w:rStyle w:val="FontStyle74"/>
          <w:b/>
          <w:sz w:val="24"/>
          <w:szCs w:val="24"/>
          <w:u w:val="single"/>
        </w:rPr>
        <w:t>Zobowiązanie do podlegania ubezpieczeniom społecznym</w:t>
      </w:r>
      <w:r w:rsidR="00315055" w:rsidRPr="00D229D8">
        <w:rPr>
          <w:rStyle w:val="FontStyle74"/>
          <w:b/>
          <w:sz w:val="24"/>
          <w:szCs w:val="24"/>
          <w:u w:val="single"/>
        </w:rPr>
        <w:t>, zarówno przy samozatrudnieniu,</w:t>
      </w:r>
      <w:r w:rsidRPr="00D229D8">
        <w:rPr>
          <w:rStyle w:val="FontStyle74"/>
          <w:b/>
          <w:sz w:val="24"/>
          <w:szCs w:val="24"/>
          <w:u w:val="single"/>
        </w:rPr>
        <w:t xml:space="preserve"> jak i przy zatrudnianiu pracowników w ramach 19.2.</w:t>
      </w:r>
    </w:p>
    <w:p w14:paraId="0578CD3E" w14:textId="77777777" w:rsidR="00924376" w:rsidRDefault="00924376" w:rsidP="00AD5813">
      <w:pPr>
        <w:pStyle w:val="Style26"/>
        <w:widowControl/>
        <w:spacing w:line="312" w:lineRule="auto"/>
        <w:ind w:firstLine="701"/>
        <w:rPr>
          <w:rStyle w:val="FontStyle74"/>
          <w:sz w:val="24"/>
          <w:szCs w:val="24"/>
        </w:rPr>
      </w:pPr>
    </w:p>
    <w:p w14:paraId="06666F23" w14:textId="77777777" w:rsidR="00AD5813" w:rsidRPr="00AD7686" w:rsidRDefault="00AD5813" w:rsidP="00AD5813">
      <w:pPr>
        <w:pStyle w:val="Style26"/>
        <w:widowControl/>
        <w:spacing w:line="312" w:lineRule="auto"/>
        <w:ind w:firstLine="701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t xml:space="preserve">W ramach samozatrudnienia specustawa 2.0 wprowadziła dla przedsiębiorców możliwość skorzystania z 3-miesięcznego zwolnienia w opłacaniu składek ZUS (marzec, kwiecień, maj 2020 r.) bez względu na ich przychód. W związku z tym, w ramach operacji </w:t>
      </w:r>
      <w:r w:rsidR="000A58E8">
        <w:rPr>
          <w:rStyle w:val="FontStyle74"/>
          <w:sz w:val="24"/>
          <w:szCs w:val="24"/>
        </w:rPr>
        <w:br/>
      </w:r>
      <w:r w:rsidRPr="00AD7686">
        <w:rPr>
          <w:rStyle w:val="FontStyle74"/>
          <w:sz w:val="24"/>
          <w:szCs w:val="24"/>
        </w:rPr>
        <w:lastRenderedPageBreak/>
        <w:t>na podejmowanie działalności gospodarczej możemy uznać, że zobowiązanie dotyczące podlegania ubezpieczeniom społecznym z tytułu wykonywania działalności gospodarczej będzie realizowane przez beneficjenta, nawet jeśli skorzysta z tzw. „wakacji składkowych". Zawieszenie w opłacaniu składek traktuje się bowiem tak, jakby podmiot nadal wpłacał składki do ZUS i jednocześnie podlegał ubezpieczeniom społecznym. W związku z tym, nie ma konieczności aneksowania umowy w tym zakresie. Skorzystanie z takiego zwolnienia przez beneficjentów nie powoduje również wydłużenia zobowiązania do podlegania tym składkom w ramach operacji.</w:t>
      </w:r>
    </w:p>
    <w:p w14:paraId="22C23A41" w14:textId="77777777" w:rsidR="00AD5813" w:rsidRPr="00AD7686" w:rsidRDefault="00AD5813" w:rsidP="00AD5813">
      <w:pPr>
        <w:pStyle w:val="Style26"/>
        <w:widowControl/>
        <w:spacing w:line="312" w:lineRule="auto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t xml:space="preserve">Przedsiębiorcy zatrudniający do 9 osób mają prawo skorzystać ze zwolnienia dotyczącego opłacania składek </w:t>
      </w:r>
      <w:proofErr w:type="gramStart"/>
      <w:r w:rsidRPr="00AD7686">
        <w:rPr>
          <w:rStyle w:val="FontStyle74"/>
          <w:sz w:val="24"/>
          <w:szCs w:val="24"/>
        </w:rPr>
        <w:t>ZUS</w:t>
      </w:r>
      <w:proofErr w:type="gramEnd"/>
      <w:r w:rsidRPr="00AD7686">
        <w:rPr>
          <w:rStyle w:val="FontStyle74"/>
          <w:sz w:val="24"/>
          <w:szCs w:val="24"/>
        </w:rPr>
        <w:t xml:space="preserve"> jeśli mieści się w limicie przychodu, o którym mowa </w:t>
      </w:r>
      <w:r w:rsidR="000A58E8">
        <w:rPr>
          <w:rStyle w:val="FontStyle74"/>
          <w:sz w:val="24"/>
          <w:szCs w:val="24"/>
        </w:rPr>
        <w:br/>
      </w:r>
      <w:r w:rsidRPr="00AD7686">
        <w:rPr>
          <w:rStyle w:val="FontStyle74"/>
          <w:sz w:val="24"/>
          <w:szCs w:val="24"/>
        </w:rPr>
        <w:t>w specustawie. Przedsiębiorca, korzystając ze zwolnienia jakie dają mu przepisy ww. ustawy nie narusza tym samym prawidłowego wypełnienia zobowiązania w ramach operacji związanego z ponoszeniem kosztów na utrzymanie pracowników. W tym przypadku nie ma konieczności aneksowania umowy. Skorzystanie z tego typu zwolnienia nie wydłuża tym samym zobowiązania wynikającego z przepisów wykonawczych i postanowień umownych.</w:t>
      </w:r>
    </w:p>
    <w:p w14:paraId="10418D5C" w14:textId="77777777" w:rsidR="00AD5813" w:rsidRPr="00AD7686" w:rsidRDefault="00AD5813" w:rsidP="00AD5813">
      <w:pPr>
        <w:pStyle w:val="Style26"/>
        <w:widowControl/>
        <w:spacing w:line="312" w:lineRule="auto"/>
        <w:ind w:firstLine="696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t xml:space="preserve">Z kolei przedsiębiorcy zatrudniający od 9 do 49 pracowników mogą skorzystać </w:t>
      </w:r>
      <w:r w:rsidR="000A58E8">
        <w:rPr>
          <w:rStyle w:val="FontStyle74"/>
          <w:sz w:val="24"/>
          <w:szCs w:val="24"/>
        </w:rPr>
        <w:br/>
      </w:r>
      <w:r w:rsidRPr="00AD7686">
        <w:rPr>
          <w:rStyle w:val="FontStyle74"/>
          <w:sz w:val="24"/>
          <w:szCs w:val="24"/>
        </w:rPr>
        <w:t>ze zwolnienia w opłacaniu składek ZUS, ale zwolnienie to dotyczy połowy opłacanych składek, a nie całości -</w:t>
      </w:r>
      <w:r w:rsidR="00F90D22">
        <w:rPr>
          <w:rStyle w:val="FontStyle74"/>
          <w:sz w:val="24"/>
          <w:szCs w:val="24"/>
        </w:rPr>
        <w:t xml:space="preserve"> </w:t>
      </w:r>
      <w:r w:rsidRPr="00AD7686">
        <w:rPr>
          <w:rStyle w:val="FontStyle74"/>
          <w:sz w:val="24"/>
          <w:szCs w:val="24"/>
        </w:rPr>
        <w:t>w tym przypadku do części składek podlegających zwolnieniu należy również stosować zasadę, która traktuje, iż korzystanie ze zwolnienia jest jednocześnie kontynuacją zobowiązania wynikającego z przepisów wykonawczych w ramach 19.2, czyli beneficjent utrzymuje pracownika i opłaca za niego składki. W związku z powyższym nie ma konieczności aneksowania u</w:t>
      </w:r>
      <w:r w:rsidR="00F90D22">
        <w:rPr>
          <w:rStyle w:val="FontStyle74"/>
          <w:sz w:val="24"/>
          <w:szCs w:val="24"/>
        </w:rPr>
        <w:t>mowy.</w:t>
      </w:r>
    </w:p>
    <w:p w14:paraId="3DD8A94F" w14:textId="77777777" w:rsidR="00AD5813" w:rsidRPr="00F90D22" w:rsidRDefault="00AD5813" w:rsidP="00AD5813">
      <w:pPr>
        <w:pStyle w:val="Style26"/>
        <w:widowControl/>
        <w:spacing w:line="312" w:lineRule="auto"/>
        <w:ind w:firstLine="677"/>
        <w:rPr>
          <w:rStyle w:val="FontStyle74"/>
          <w:sz w:val="24"/>
          <w:szCs w:val="24"/>
        </w:rPr>
      </w:pPr>
      <w:r w:rsidRPr="00F90D22">
        <w:rPr>
          <w:rStyle w:val="FontStyle74"/>
          <w:sz w:val="24"/>
          <w:szCs w:val="24"/>
        </w:rPr>
        <w:t xml:space="preserve">Należy zauważyć, iż w przytoczonych powyżej przypadkach nie mamy do czynienia </w:t>
      </w:r>
      <w:r w:rsidR="00FE754B">
        <w:rPr>
          <w:rStyle w:val="FontStyle74"/>
          <w:sz w:val="24"/>
          <w:szCs w:val="24"/>
        </w:rPr>
        <w:br/>
      </w:r>
      <w:r w:rsidRPr="00F90D22">
        <w:rPr>
          <w:rStyle w:val="FontStyle74"/>
          <w:sz w:val="24"/>
          <w:szCs w:val="24"/>
        </w:rPr>
        <w:t xml:space="preserve">z refinansowaniem składek ZUS przez państwo, a jedynie ze zwolnieniem z określonego obowiązku z wyłączeniem niemal wszystkich skutków nieopłacenia należnych składek. Korzystanie ze zwolnienia składkowego należy </w:t>
      </w:r>
      <w:proofErr w:type="gramStart"/>
      <w:r w:rsidRPr="00F90D22">
        <w:rPr>
          <w:rStyle w:val="FontStyle74"/>
          <w:sz w:val="24"/>
          <w:szCs w:val="24"/>
        </w:rPr>
        <w:t>interpretować</w:t>
      </w:r>
      <w:proofErr w:type="gramEnd"/>
      <w:r w:rsidRPr="00F90D22">
        <w:rPr>
          <w:rStyle w:val="FontStyle74"/>
          <w:sz w:val="24"/>
          <w:szCs w:val="24"/>
        </w:rPr>
        <w:t xml:space="preserve"> wobec tego w taki sposób, </w:t>
      </w:r>
      <w:r w:rsidR="00FE754B">
        <w:rPr>
          <w:rStyle w:val="FontStyle74"/>
          <w:sz w:val="24"/>
          <w:szCs w:val="24"/>
        </w:rPr>
        <w:br/>
      </w:r>
      <w:r w:rsidRPr="00F90D22">
        <w:rPr>
          <w:rStyle w:val="FontStyle74"/>
          <w:sz w:val="24"/>
          <w:szCs w:val="24"/>
        </w:rPr>
        <w:t>iż przedsiębiorcy są zwolnieni od skutków niezapłacenia tych składek. Tym samym nie można traktować nieopłacania składek ZUS przez beneficjentów poddziałania 19.2 jako niewywiązania się ze zobowiązań umownych.</w:t>
      </w:r>
    </w:p>
    <w:p w14:paraId="3BE41FF4" w14:textId="77777777" w:rsidR="00AD5813" w:rsidRPr="00AD7686" w:rsidRDefault="00AD5813" w:rsidP="00AD5813">
      <w:pPr>
        <w:pStyle w:val="Style26"/>
        <w:widowControl/>
        <w:spacing w:line="312" w:lineRule="auto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t xml:space="preserve">Przedsiębiorcy, którzy nie mogą skorzystać ze zwolnienia w opłacaniu składek ZUS, </w:t>
      </w:r>
      <w:r w:rsidR="00FE754B">
        <w:rPr>
          <w:rStyle w:val="FontStyle74"/>
          <w:sz w:val="24"/>
          <w:szCs w:val="24"/>
        </w:rPr>
        <w:br/>
      </w:r>
      <w:r w:rsidRPr="00AD7686">
        <w:rPr>
          <w:rStyle w:val="FontStyle74"/>
          <w:sz w:val="24"/>
          <w:szCs w:val="24"/>
        </w:rPr>
        <w:t>a skorzystają np. z ulgi w opłacaniu składek (wiąże się to z odroczeniem albo rozłożeniem na raty opłacania składek ZUS w związku z COVID-19 - ulga przysługuje każdemu przedsiębiorcy na jego ubezpieczenie i zatrudnionych pracowników):</w:t>
      </w:r>
    </w:p>
    <w:p w14:paraId="39AAAED4" w14:textId="77777777" w:rsidR="00AD5813" w:rsidRPr="00AD7686" w:rsidRDefault="00AD5813" w:rsidP="00AD5813">
      <w:pPr>
        <w:pStyle w:val="Style36"/>
        <w:widowControl/>
        <w:numPr>
          <w:ilvl w:val="0"/>
          <w:numId w:val="1"/>
        </w:numPr>
        <w:tabs>
          <w:tab w:val="left" w:pos="941"/>
        </w:tabs>
        <w:spacing w:line="312" w:lineRule="auto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t xml:space="preserve">W przypadku </w:t>
      </w:r>
      <w:proofErr w:type="gramStart"/>
      <w:r w:rsidRPr="00AD7686">
        <w:rPr>
          <w:rStyle w:val="FontStyle74"/>
          <w:sz w:val="24"/>
          <w:szCs w:val="24"/>
        </w:rPr>
        <w:t>odroczenia,</w:t>
      </w:r>
      <w:proofErr w:type="gramEnd"/>
      <w:r w:rsidRPr="00AD7686">
        <w:rPr>
          <w:rStyle w:val="FontStyle74"/>
          <w:sz w:val="24"/>
          <w:szCs w:val="24"/>
        </w:rPr>
        <w:t xml:space="preserve"> czy rozłożenia na raty opłacania składek przez beneficjentów w trakcie realizacji operacji polegających na rozwijaniu działalności gospodarczej, nie zostaje naruszone prawidłowe wypełnianie zobowiązania dotyczące utrzymania miejsc pracy i opłacania z tego tyłu składek do ZUS.W związku z tym zobowiązanie nie ulega wydłużeniu z tytułu skorzystania z ulgi i nie ma konieczności zawierania </w:t>
      </w:r>
      <w:r w:rsidR="007741A5">
        <w:rPr>
          <w:rStyle w:val="FontStyle74"/>
          <w:sz w:val="24"/>
          <w:szCs w:val="24"/>
        </w:rPr>
        <w:t xml:space="preserve">aneksu </w:t>
      </w:r>
      <w:r w:rsidR="00FE754B">
        <w:rPr>
          <w:rStyle w:val="FontStyle74"/>
          <w:sz w:val="24"/>
          <w:szCs w:val="24"/>
        </w:rPr>
        <w:br/>
      </w:r>
      <w:r w:rsidR="007741A5">
        <w:rPr>
          <w:rStyle w:val="FontStyle74"/>
          <w:sz w:val="24"/>
          <w:szCs w:val="24"/>
        </w:rPr>
        <w:t>do umowy.</w:t>
      </w:r>
    </w:p>
    <w:p w14:paraId="6401D707" w14:textId="77777777" w:rsidR="00AD5813" w:rsidRPr="00AD7686" w:rsidRDefault="00AD5813" w:rsidP="00AD5813">
      <w:pPr>
        <w:pStyle w:val="Style36"/>
        <w:widowControl/>
        <w:numPr>
          <w:ilvl w:val="0"/>
          <w:numId w:val="1"/>
        </w:numPr>
        <w:tabs>
          <w:tab w:val="left" w:pos="941"/>
        </w:tabs>
        <w:spacing w:line="312" w:lineRule="auto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lastRenderedPageBreak/>
        <w:t xml:space="preserve">W przypadku skorzystania z ulgi w okresie, który obejmie etap złożenia wniosku </w:t>
      </w:r>
      <w:r w:rsidR="00FE754B">
        <w:rPr>
          <w:rStyle w:val="FontStyle74"/>
          <w:sz w:val="24"/>
          <w:szCs w:val="24"/>
        </w:rPr>
        <w:br/>
      </w:r>
      <w:r w:rsidRPr="00AD7686">
        <w:rPr>
          <w:rStyle w:val="FontStyle74"/>
          <w:sz w:val="24"/>
          <w:szCs w:val="24"/>
        </w:rPr>
        <w:t>o płatność końcową lub okres związania celem ww. operacji, w których to beneficjent musi wywiązać się ze zobowiązania dotyczącego utrzymania zadeklarowanych miejsc pracy, w tym ponoszenie z tego tytułu kosztów zatrudnienia tych pracowników, jeśli beneficjent będzie utrzymywał te miejsca pracy, do których został zobowiązany, nie ma podstaw do wydłużania mu zobowiązania z tytułu ponoszenia kosztów w związku z zatrudnieniem. Należy zauważyć, iż koszty te zostaną przez beneficjenta poniesione, w związku z rozłożeniem na raty albo w terminie późniejszym, tym samym nie oznacza to nieutrzymywania miejsc pracy. Umowa o przyznaniu pomocy w ramach 19.2 dla operacji polegających na rozwijaniu działalności gospodarczej w postanowieniach dotyczących zwrotu pomocy, odnosi się bezpośrednio do utrzymania utworzonych miejsc pracy. W związku z tym, jeśli miejsce pracy jest utrzymane przez beneficjenta, a zgoda na odroczenie lub rozłożenie na raty wydana została przez ZUS w związku z zaistniałą sytuacją w kraju, nie ma podstaw, aby twierdzić, że beneficjent nie wypełnia przedmiotowego zobowiązania. Tym samym nie ma podstaw do wydłużenia zobowiązania dotyczącego utrzymania miejsc pracy o ten czas, na który ulga została przyznana. W związku z tym, nie ma też potrzeby aneksowania umowy w tym zakresie.</w:t>
      </w:r>
    </w:p>
    <w:p w14:paraId="35A3037B" w14:textId="77777777" w:rsidR="00AD5813" w:rsidRPr="00AD7686" w:rsidRDefault="00AD5813" w:rsidP="00AD5813">
      <w:pPr>
        <w:pStyle w:val="Style26"/>
        <w:widowControl/>
        <w:spacing w:line="312" w:lineRule="auto"/>
        <w:ind w:firstLine="686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t xml:space="preserve">Ponadto, należy również uwzględnić sytuacje, w których przedsiębiorca, a jednocześnie beneficjent poddziałania 19.2 wyraża zgodę, aby jego pracownik udał się na urlop bezpłatny. W tym przypadku, pomimo, że pracownik nadal pozostaje w stosunku pracy, przedsiębiorca jako pracodawca nie wypłaca mu wynagrodzenia, gdyż nie mamy w tym momencie do czynienia ze świadczeniem pracy. W związku z tym, przedsiębiorca nie ponosi za pracownika opłat z tytułu ubezpieczenia społecznego do ZUS ani nie wypłaca mu wynagrodzenia. W tej sytuacji samorządy województw nie powinny traktować takiego stanu jako naruszenie przez beneficjenta zobowiązania do utrzymania miejsc pracy i ponoszenia z tego tytułu kosztów, jeśli jest to wynikiem wystąpienia siły wyższej lub nadzwyczajnych okoliczności związanych z obecną sytuacją epidemiologiczną w kraju. Nie ma w tym przypadku konieczności aneksowania umowy w rym zakresie. Beneficjent z kolei powinien poinformować o zaistniałej sytuacji samorząd województwa. Zobowiązanie to powinno być traktowane jako realizowane przez przedsiębiorcę, co zostanie uregulowane w rozporządzeniu Ministra Rolnictwa i Rozwoju Wsi określającym odmienne warunki lub tryb przyznawania, wypłaty lub zwrotu pomocy w ramach poszczególnych działań, poddziałań lub typów operacji objętych programem lub pomocy technicznej w związku z </w:t>
      </w:r>
      <w:r w:rsidRPr="00AD7686">
        <w:rPr>
          <w:rStyle w:val="FontStyle74"/>
          <w:sz w:val="24"/>
          <w:szCs w:val="24"/>
          <w:lang w:val="es-ES_tradnl"/>
        </w:rPr>
        <w:t xml:space="preserve">COVID-19, </w:t>
      </w:r>
      <w:r w:rsidRPr="00AD7686">
        <w:rPr>
          <w:rStyle w:val="FontStyle74"/>
          <w:sz w:val="24"/>
          <w:szCs w:val="24"/>
        </w:rPr>
        <w:t>którego fakultatywne wydanie będzie możliwe na podstawie art. 67b ust. 4 zmienionej ustawy.</w:t>
      </w:r>
    </w:p>
    <w:p w14:paraId="49C95AA7" w14:textId="77777777" w:rsidR="00AD5813" w:rsidRPr="00AD7686" w:rsidRDefault="00AD5813" w:rsidP="00AD5813">
      <w:pPr>
        <w:pStyle w:val="Style36"/>
        <w:widowControl/>
        <w:spacing w:line="312" w:lineRule="auto"/>
        <w:ind w:left="701" w:firstLine="0"/>
      </w:pPr>
    </w:p>
    <w:p w14:paraId="4CA791C2" w14:textId="77777777" w:rsidR="00AD5813" w:rsidRPr="00FE754B" w:rsidRDefault="00AD5813" w:rsidP="007741A5">
      <w:pPr>
        <w:pStyle w:val="Style36"/>
        <w:widowControl/>
        <w:tabs>
          <w:tab w:val="left" w:pos="941"/>
        </w:tabs>
        <w:spacing w:line="312" w:lineRule="auto"/>
        <w:ind w:firstLine="0"/>
        <w:rPr>
          <w:rStyle w:val="FontStyle74"/>
          <w:b/>
          <w:sz w:val="24"/>
          <w:szCs w:val="24"/>
          <w:u w:val="single"/>
        </w:rPr>
      </w:pPr>
      <w:r w:rsidRPr="00FE754B">
        <w:rPr>
          <w:rStyle w:val="FontStyle74"/>
          <w:b/>
          <w:sz w:val="24"/>
          <w:szCs w:val="24"/>
        </w:rPr>
        <w:t>3.</w:t>
      </w:r>
      <w:r w:rsidR="007741A5" w:rsidRPr="00FE754B">
        <w:rPr>
          <w:rStyle w:val="FontStyle74"/>
          <w:b/>
          <w:sz w:val="24"/>
          <w:szCs w:val="24"/>
        </w:rPr>
        <w:t xml:space="preserve"> </w:t>
      </w:r>
      <w:r w:rsidRPr="00FE754B">
        <w:rPr>
          <w:rStyle w:val="FontStyle74"/>
          <w:b/>
          <w:sz w:val="24"/>
          <w:szCs w:val="24"/>
          <w:u w:val="single"/>
        </w:rPr>
        <w:t>Zobowiązanie do wykonywania działalności gospodarczej.</w:t>
      </w:r>
    </w:p>
    <w:p w14:paraId="538F9831" w14:textId="77777777" w:rsidR="00924376" w:rsidRDefault="00924376" w:rsidP="00AD5813">
      <w:pPr>
        <w:pStyle w:val="Style26"/>
        <w:widowControl/>
        <w:spacing w:line="312" w:lineRule="auto"/>
        <w:ind w:firstLine="696"/>
        <w:rPr>
          <w:rStyle w:val="FontStyle74"/>
          <w:sz w:val="24"/>
          <w:szCs w:val="24"/>
        </w:rPr>
      </w:pPr>
    </w:p>
    <w:p w14:paraId="46CE6C0A" w14:textId="77777777" w:rsidR="00AD5813" w:rsidRDefault="00AD5813" w:rsidP="00AD5813">
      <w:pPr>
        <w:pStyle w:val="Style26"/>
        <w:widowControl/>
        <w:spacing w:line="312" w:lineRule="auto"/>
        <w:ind w:firstLine="696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t xml:space="preserve">W przypadku skorzystania z prawa do zawieszenia działalności gospodarczej w ramach operacji związanych z podejmowaniem działalności gospodarczej, czy to w trakcie realizacji operacji, czy to w okresie związania celem, zobowiązanie beneficjenta również nie ulega </w:t>
      </w:r>
      <w:r w:rsidRPr="00AD7686">
        <w:rPr>
          <w:rStyle w:val="FontStyle74"/>
          <w:sz w:val="24"/>
          <w:szCs w:val="24"/>
        </w:rPr>
        <w:lastRenderedPageBreak/>
        <w:t xml:space="preserve">wydłużeniu o okres na jaki działalność z powodu </w:t>
      </w:r>
      <w:r w:rsidRPr="00AD7686">
        <w:rPr>
          <w:rStyle w:val="FontStyle74"/>
          <w:sz w:val="24"/>
          <w:szCs w:val="24"/>
          <w:lang w:val="es-ES_tradnl"/>
        </w:rPr>
        <w:t xml:space="preserve">COVID-19 </w:t>
      </w:r>
      <w:r w:rsidRPr="00AD7686">
        <w:rPr>
          <w:rStyle w:val="FontStyle74"/>
          <w:sz w:val="24"/>
          <w:szCs w:val="24"/>
        </w:rPr>
        <w:t>została zawieszona. W tym przypadku należy jednak pamiętać, iż działalność nie jest prowadzona, a przedsiębiorca zostaje wypisany z listy płatników i ubezpieczonych w ZUS. W przypadku operacji będących w trakcie realizacji, może wiązać się to jednak z koniecznością przedłużenia okresu na jej zakończenie na wniosek beneficjenta. W tym przypadku konieczny będzie aneks do umowy. Przedmiotowa kwestia planowana jest do uregulowania w fakultatywnym rozporządzeniu Ministra Rolnictwa i Rozwoju Wsi, o którym mowa powyżej.</w:t>
      </w:r>
    </w:p>
    <w:p w14:paraId="7813861C" w14:textId="77777777" w:rsidR="007741A5" w:rsidRPr="00AD7686" w:rsidRDefault="007741A5" w:rsidP="00AD5813">
      <w:pPr>
        <w:pStyle w:val="Style26"/>
        <w:widowControl/>
        <w:spacing w:line="312" w:lineRule="auto"/>
        <w:ind w:firstLine="696"/>
        <w:rPr>
          <w:rStyle w:val="FontStyle74"/>
          <w:sz w:val="24"/>
          <w:szCs w:val="24"/>
        </w:rPr>
      </w:pPr>
    </w:p>
    <w:p w14:paraId="200CCF25" w14:textId="77777777" w:rsidR="00AD5813" w:rsidRPr="00303B3B" w:rsidRDefault="00AD5813" w:rsidP="007741A5">
      <w:pPr>
        <w:pStyle w:val="Style36"/>
        <w:widowControl/>
        <w:tabs>
          <w:tab w:val="left" w:pos="931"/>
        </w:tabs>
        <w:spacing w:line="312" w:lineRule="auto"/>
        <w:ind w:firstLine="0"/>
        <w:rPr>
          <w:rStyle w:val="FontStyle74"/>
          <w:b/>
          <w:sz w:val="24"/>
          <w:szCs w:val="24"/>
          <w:u w:val="single"/>
        </w:rPr>
      </w:pPr>
      <w:r w:rsidRPr="00303B3B">
        <w:rPr>
          <w:rStyle w:val="FontStyle74"/>
          <w:b/>
          <w:sz w:val="24"/>
          <w:szCs w:val="24"/>
        </w:rPr>
        <w:t>4.</w:t>
      </w:r>
      <w:r w:rsidR="007741A5" w:rsidRPr="00303B3B">
        <w:rPr>
          <w:rStyle w:val="FontStyle74"/>
          <w:b/>
          <w:sz w:val="24"/>
          <w:szCs w:val="24"/>
        </w:rPr>
        <w:t xml:space="preserve"> </w:t>
      </w:r>
      <w:r w:rsidRPr="00303B3B">
        <w:rPr>
          <w:rStyle w:val="FontStyle74"/>
          <w:b/>
          <w:sz w:val="24"/>
          <w:szCs w:val="24"/>
          <w:u w:val="single"/>
        </w:rPr>
        <w:t>Zobowiązanie w ramach operacji polegających na podejmowaniu i rozwijaniu działalności</w:t>
      </w:r>
      <w:r w:rsidR="007741A5" w:rsidRPr="00303B3B">
        <w:rPr>
          <w:rStyle w:val="FontStyle74"/>
          <w:b/>
          <w:sz w:val="24"/>
          <w:szCs w:val="24"/>
          <w:u w:val="single"/>
        </w:rPr>
        <w:t xml:space="preserve"> </w:t>
      </w:r>
      <w:r w:rsidRPr="00303B3B">
        <w:rPr>
          <w:rStyle w:val="FontStyle74"/>
          <w:b/>
          <w:sz w:val="24"/>
          <w:szCs w:val="24"/>
          <w:u w:val="single"/>
        </w:rPr>
        <w:t>gospodarczej do osiągnięcia 30% zakładanego w biznesplanie ilościowego lub wartościowego</w:t>
      </w:r>
      <w:r w:rsidR="007741A5" w:rsidRPr="00303B3B">
        <w:rPr>
          <w:rStyle w:val="FontStyle74"/>
          <w:b/>
          <w:sz w:val="24"/>
          <w:szCs w:val="24"/>
          <w:u w:val="single"/>
        </w:rPr>
        <w:t xml:space="preserve"> </w:t>
      </w:r>
      <w:r w:rsidRPr="00303B3B">
        <w:rPr>
          <w:rStyle w:val="FontStyle74"/>
          <w:b/>
          <w:sz w:val="24"/>
          <w:szCs w:val="24"/>
          <w:u w:val="single"/>
        </w:rPr>
        <w:t>poziomu sprzedaży produktów lub usług do dnia, w którym upłyni</w:t>
      </w:r>
      <w:r w:rsidR="007741A5" w:rsidRPr="00303B3B">
        <w:rPr>
          <w:rStyle w:val="FontStyle74"/>
          <w:b/>
          <w:sz w:val="24"/>
          <w:szCs w:val="24"/>
          <w:u w:val="single"/>
        </w:rPr>
        <w:t xml:space="preserve">e rok od dnia wypłaty płatności </w:t>
      </w:r>
      <w:r w:rsidRPr="00303B3B">
        <w:rPr>
          <w:rStyle w:val="FontStyle74"/>
          <w:b/>
          <w:sz w:val="24"/>
          <w:szCs w:val="24"/>
          <w:u w:val="single"/>
        </w:rPr>
        <w:t>końcowej.</w:t>
      </w:r>
    </w:p>
    <w:p w14:paraId="2673725E" w14:textId="77777777" w:rsidR="00924376" w:rsidRDefault="00924376" w:rsidP="00AD5813">
      <w:pPr>
        <w:pStyle w:val="Style26"/>
        <w:widowControl/>
        <w:spacing w:line="312" w:lineRule="auto"/>
        <w:rPr>
          <w:rStyle w:val="FontStyle74"/>
          <w:sz w:val="24"/>
          <w:szCs w:val="24"/>
        </w:rPr>
      </w:pPr>
    </w:p>
    <w:p w14:paraId="35F75545" w14:textId="77777777" w:rsidR="00AD5813" w:rsidRDefault="00AD5813" w:rsidP="00AD5813">
      <w:pPr>
        <w:pStyle w:val="Style26"/>
        <w:widowControl/>
        <w:spacing w:line="312" w:lineRule="auto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t xml:space="preserve">MRiRW informuje, iż jest w trakcie prac nad nowelizacją rozporządzenia Ministra Rolnictwa i Rozwoju Wsi z dnia 24 września 2015 r. w sprawie szczegółowych warunków </w:t>
      </w:r>
      <w:r w:rsidR="00C60E40">
        <w:rPr>
          <w:rStyle w:val="FontStyle74"/>
          <w:sz w:val="24"/>
          <w:szCs w:val="24"/>
        </w:rPr>
        <w:br/>
      </w:r>
      <w:r w:rsidRPr="00AD7686">
        <w:rPr>
          <w:rStyle w:val="FontStyle74"/>
          <w:sz w:val="24"/>
          <w:szCs w:val="24"/>
        </w:rPr>
        <w:t>i trybu przyznawania pomocy finansowej w ramach poddziałania „Wsparcie na wdrażanie operacji w ramach strategii rozwoju lokalnego kierowanego przez społeczność" objętego Programem Rozwoju Obszarów Wiejskich na lata 2014-2020 (Dz. U. z 2019 r. poz. 664 oraz 2023), w wyniku której planowane jest całkowite zniesienie zobowiązania dotyczącego uzyskania przez beneficjentów 30% poziomu sprzedaży produktów lub usług. W przypadku problemów beneficjentów wynikających z braku możliwości wywiązania się z ww. zobowiązania, do momentu wprowadzenia regulacji w tym zakresie, należy stosować postanowienia umowne dotyczące siły wyższej.</w:t>
      </w:r>
    </w:p>
    <w:p w14:paraId="6C8EF8BA" w14:textId="77777777" w:rsidR="007741A5" w:rsidRDefault="007741A5" w:rsidP="007741A5">
      <w:pPr>
        <w:pStyle w:val="Style36"/>
        <w:widowControl/>
        <w:tabs>
          <w:tab w:val="left" w:pos="931"/>
        </w:tabs>
        <w:spacing w:line="312" w:lineRule="auto"/>
        <w:ind w:firstLine="0"/>
        <w:rPr>
          <w:rStyle w:val="FontStyle74"/>
          <w:sz w:val="24"/>
          <w:szCs w:val="24"/>
        </w:rPr>
      </w:pPr>
    </w:p>
    <w:p w14:paraId="43E8EE68" w14:textId="77777777" w:rsidR="00AD5813" w:rsidRPr="00C60E40" w:rsidRDefault="00AD5813" w:rsidP="007741A5">
      <w:pPr>
        <w:pStyle w:val="Style36"/>
        <w:widowControl/>
        <w:tabs>
          <w:tab w:val="left" w:pos="931"/>
        </w:tabs>
        <w:spacing w:line="312" w:lineRule="auto"/>
        <w:ind w:firstLine="0"/>
        <w:rPr>
          <w:rStyle w:val="FontStyle74"/>
          <w:b/>
          <w:sz w:val="24"/>
          <w:szCs w:val="24"/>
          <w:u w:val="single"/>
        </w:rPr>
      </w:pPr>
      <w:r w:rsidRPr="00C60E40">
        <w:rPr>
          <w:rStyle w:val="FontStyle74"/>
          <w:b/>
          <w:sz w:val="24"/>
          <w:szCs w:val="24"/>
        </w:rPr>
        <w:t>5.</w:t>
      </w:r>
      <w:r w:rsidR="007741A5" w:rsidRPr="00C60E40">
        <w:rPr>
          <w:rStyle w:val="FontStyle74"/>
          <w:b/>
          <w:sz w:val="24"/>
          <w:szCs w:val="24"/>
        </w:rPr>
        <w:t xml:space="preserve"> </w:t>
      </w:r>
      <w:r w:rsidRPr="00C60E40">
        <w:rPr>
          <w:rStyle w:val="FontStyle74"/>
          <w:b/>
          <w:sz w:val="24"/>
          <w:szCs w:val="24"/>
          <w:u w:val="single"/>
        </w:rPr>
        <w:t>Zobowiązanie dotyczące utrzymania zadeklarowanej liczby pracowników w ramach</w:t>
      </w:r>
      <w:r w:rsidRPr="00C60E40">
        <w:rPr>
          <w:rStyle w:val="FontStyle74"/>
          <w:b/>
          <w:sz w:val="24"/>
          <w:szCs w:val="24"/>
          <w:u w:val="single"/>
        </w:rPr>
        <w:br/>
        <w:t>operacji.</w:t>
      </w:r>
    </w:p>
    <w:p w14:paraId="5A0EE8EA" w14:textId="77777777" w:rsidR="00924376" w:rsidRDefault="00924376" w:rsidP="00AD5813">
      <w:pPr>
        <w:pStyle w:val="Style26"/>
        <w:widowControl/>
        <w:spacing w:line="312" w:lineRule="auto"/>
        <w:ind w:firstLine="696"/>
        <w:rPr>
          <w:rStyle w:val="FontStyle74"/>
          <w:sz w:val="24"/>
          <w:szCs w:val="24"/>
        </w:rPr>
      </w:pPr>
    </w:p>
    <w:p w14:paraId="090A50BF" w14:textId="77777777" w:rsidR="00AD5813" w:rsidRPr="00AD7686" w:rsidRDefault="00AD5813" w:rsidP="00AD5813">
      <w:pPr>
        <w:pStyle w:val="Style26"/>
        <w:widowControl/>
        <w:spacing w:line="312" w:lineRule="auto"/>
        <w:ind w:firstLine="696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t>W przypadku kiedy przedsiębiorca nie może skorzystać z przywilejów jakie niosą przepisy „ustawy antykryzysowej", np. dopłaty do pensji pracowników, zwolnienie z opłat ZUS lub jest to niewystarczające do prowadzenia przedsiębiorstwa i utrzymania zadeklarowanych miejsc pracy,</w:t>
      </w:r>
      <w:r w:rsidR="0070516F">
        <w:rPr>
          <w:rStyle w:val="FontStyle74"/>
          <w:sz w:val="24"/>
          <w:szCs w:val="24"/>
        </w:rPr>
        <w:t xml:space="preserve"> beneficjent poddziałania 19.2 może się</w:t>
      </w:r>
      <w:r w:rsidRPr="00AD7686">
        <w:rPr>
          <w:rStyle w:val="FontStyle74"/>
          <w:sz w:val="24"/>
          <w:szCs w:val="24"/>
        </w:rPr>
        <w:t xml:space="preserve"> powołać na przepisy dotyczące siły </w:t>
      </w:r>
      <w:proofErr w:type="gramStart"/>
      <w:r w:rsidRPr="00AD7686">
        <w:rPr>
          <w:rStyle w:val="FontStyle74"/>
          <w:sz w:val="24"/>
          <w:szCs w:val="24"/>
        </w:rPr>
        <w:t>wyższej  lub</w:t>
      </w:r>
      <w:proofErr w:type="gramEnd"/>
      <w:r w:rsidRPr="00AD7686">
        <w:rPr>
          <w:rStyle w:val="FontStyle74"/>
          <w:sz w:val="24"/>
          <w:szCs w:val="24"/>
        </w:rPr>
        <w:t xml:space="preserve"> nadzwyczajnych okoliczności (skutki epidemii). Wymagane jest przy tym aneksowanie umowy. Ponadto, MRiRW informuje, iż planowana jest zmiana przepisów rozporządzenia wykonawczego w zakresie ww. zobowiązania, aby umożliwić beneficjentom poddziałania sprawniejszą realizację operacji w zakresie podejmowania, jak i rozwijania działalności gospodarczej. Ministerstwo kieruje również prośbę do samorządów, aby przychylały się w obecnej sytuacji do pozytywnego rozstrzygania kwestii na rzecz beneficjentów związanych ze zobowiązaniami dotyczącymi zatrudnienia. W przypadku, kiedy beneficjent nie wywiąże się ze zobowiązania na etapie wniosku o płatność z powodu obecnie </w:t>
      </w:r>
      <w:r w:rsidRPr="00AD7686">
        <w:rPr>
          <w:rStyle w:val="FontStyle74"/>
          <w:sz w:val="24"/>
          <w:szCs w:val="24"/>
        </w:rPr>
        <w:lastRenderedPageBreak/>
        <w:t xml:space="preserve">panującej sytuacji w kraju, nie powinno to stanowić przesłanki do odmowy wypłaty pomocy </w:t>
      </w:r>
      <w:r w:rsidR="0070516F">
        <w:rPr>
          <w:rStyle w:val="FontStyle74"/>
          <w:sz w:val="24"/>
          <w:szCs w:val="24"/>
        </w:rPr>
        <w:br/>
      </w:r>
      <w:r w:rsidRPr="00AD7686">
        <w:rPr>
          <w:rStyle w:val="FontStyle74"/>
          <w:sz w:val="24"/>
          <w:szCs w:val="24"/>
        </w:rPr>
        <w:t xml:space="preserve">z tego tytułu, jeśli spełnienie zobowiązania nie będzie możliwe albo będzie możliwe </w:t>
      </w:r>
      <w:r w:rsidR="0070516F">
        <w:rPr>
          <w:rStyle w:val="FontStyle74"/>
          <w:sz w:val="24"/>
          <w:szCs w:val="24"/>
        </w:rPr>
        <w:br/>
      </w:r>
      <w:r w:rsidRPr="00AD7686">
        <w:rPr>
          <w:rStyle w:val="FontStyle74"/>
          <w:sz w:val="24"/>
          <w:szCs w:val="24"/>
        </w:rPr>
        <w:t>do zrealizowania w terminie późniejszym po ustąpieniu przeszkody.</w:t>
      </w:r>
    </w:p>
    <w:p w14:paraId="6BC86CE7" w14:textId="77777777" w:rsidR="00AD5813" w:rsidRPr="00AD7686" w:rsidRDefault="00AD5813" w:rsidP="00AD5813">
      <w:pPr>
        <w:pStyle w:val="Style26"/>
        <w:widowControl/>
        <w:spacing w:line="312" w:lineRule="auto"/>
        <w:ind w:firstLine="686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t xml:space="preserve">W odniesieniu do możliwości korzystania z dofinansowania do pensji pracowników należy zaznaczyć, iż rozporządzenie wykonawcze dla poddziałania 19.2 reguluje w § 17 ust. 1 pkt 8, iż do kosztów kwalifikowalnych zalicza się koszty wynagrodzenia i innych świadczeń, o których mowa w Kodeksie pracy, związanych z pracą pracowników beneficjenta, a także inne koszty ponoszone przez beneficjenta na podstawie odrębnych przepisów w związku </w:t>
      </w:r>
      <w:r w:rsidR="00566968">
        <w:rPr>
          <w:rStyle w:val="FontStyle74"/>
          <w:sz w:val="24"/>
          <w:szCs w:val="24"/>
        </w:rPr>
        <w:br/>
      </w:r>
      <w:r w:rsidRPr="00AD7686">
        <w:rPr>
          <w:rStyle w:val="FontStyle74"/>
          <w:sz w:val="24"/>
          <w:szCs w:val="24"/>
        </w:rPr>
        <w:t xml:space="preserve">z zatrudnieniem tych pracowników jedynie w przypadku operacji w zakresie tworzenia lub rozwoju inkubatorów przetwórstwa lokalnego produktów rolnych oraz wspierania współpracy między podmiotami wykonującymi działalność gospodarczą. W związku z tym, korzystanie </w:t>
      </w:r>
      <w:r w:rsidR="00566968">
        <w:rPr>
          <w:rStyle w:val="FontStyle74"/>
          <w:sz w:val="24"/>
          <w:szCs w:val="24"/>
        </w:rPr>
        <w:br/>
      </w:r>
      <w:r w:rsidRPr="00AD7686">
        <w:rPr>
          <w:rStyle w:val="FontStyle74"/>
          <w:sz w:val="24"/>
          <w:szCs w:val="24"/>
        </w:rPr>
        <w:t xml:space="preserve">z ww. dofinansowania do pensji pracowników w ramach danego przedsiębiorstwa w ramach pozostałych operacji, nie jest traktowane jako współfinansowanie kosztów kwalifikowalnych </w:t>
      </w:r>
      <w:r w:rsidR="00566968">
        <w:rPr>
          <w:rStyle w:val="FontStyle74"/>
          <w:sz w:val="24"/>
          <w:szCs w:val="24"/>
        </w:rPr>
        <w:br/>
      </w:r>
      <w:r w:rsidRPr="00AD7686">
        <w:rPr>
          <w:rStyle w:val="FontStyle74"/>
          <w:sz w:val="24"/>
          <w:szCs w:val="24"/>
        </w:rPr>
        <w:t>z innych środków publicznych. Nie ma naruszenia przepisu § 4 ust. 1 pkt 1 rozporządzenia.</w:t>
      </w:r>
    </w:p>
    <w:p w14:paraId="0306B8A2" w14:textId="77777777" w:rsidR="007741A5" w:rsidRDefault="007741A5" w:rsidP="007741A5">
      <w:pPr>
        <w:pStyle w:val="Style40"/>
        <w:widowControl/>
        <w:tabs>
          <w:tab w:val="left" w:pos="907"/>
        </w:tabs>
        <w:spacing w:line="312" w:lineRule="auto"/>
        <w:jc w:val="both"/>
        <w:rPr>
          <w:rStyle w:val="FontStyle74"/>
          <w:sz w:val="24"/>
          <w:szCs w:val="24"/>
        </w:rPr>
      </w:pPr>
    </w:p>
    <w:p w14:paraId="33E5C2BE" w14:textId="77777777" w:rsidR="007741A5" w:rsidRDefault="00AD5813" w:rsidP="007741A5">
      <w:pPr>
        <w:pStyle w:val="Style40"/>
        <w:widowControl/>
        <w:tabs>
          <w:tab w:val="left" w:pos="907"/>
        </w:tabs>
        <w:spacing w:line="312" w:lineRule="auto"/>
        <w:jc w:val="both"/>
        <w:rPr>
          <w:rStyle w:val="FontStyle74"/>
          <w:b/>
          <w:sz w:val="24"/>
          <w:szCs w:val="24"/>
          <w:u w:val="single"/>
        </w:rPr>
      </w:pPr>
      <w:r w:rsidRPr="00566968">
        <w:rPr>
          <w:rStyle w:val="FontStyle74"/>
          <w:b/>
          <w:sz w:val="24"/>
          <w:szCs w:val="24"/>
        </w:rPr>
        <w:t>6.</w:t>
      </w:r>
      <w:r w:rsidR="007741A5" w:rsidRPr="00566968">
        <w:rPr>
          <w:rStyle w:val="FontStyle74"/>
          <w:b/>
          <w:sz w:val="24"/>
          <w:szCs w:val="24"/>
        </w:rPr>
        <w:t xml:space="preserve"> </w:t>
      </w:r>
      <w:r w:rsidRPr="00566968">
        <w:rPr>
          <w:rStyle w:val="FontStyle74"/>
          <w:b/>
          <w:sz w:val="24"/>
          <w:szCs w:val="24"/>
          <w:u w:val="single"/>
        </w:rPr>
        <w:t>Zobowiązanie do poniesienia kosztów kwalifikowalnych podlegających refundacji.</w:t>
      </w:r>
    </w:p>
    <w:p w14:paraId="106CCD18" w14:textId="77777777" w:rsidR="00566968" w:rsidRPr="00566968" w:rsidRDefault="00566968" w:rsidP="007741A5">
      <w:pPr>
        <w:pStyle w:val="Style40"/>
        <w:widowControl/>
        <w:tabs>
          <w:tab w:val="left" w:pos="907"/>
        </w:tabs>
        <w:spacing w:line="312" w:lineRule="auto"/>
        <w:jc w:val="both"/>
        <w:rPr>
          <w:rStyle w:val="FontStyle74"/>
          <w:b/>
          <w:sz w:val="24"/>
          <w:szCs w:val="24"/>
          <w:u w:val="single"/>
        </w:rPr>
      </w:pPr>
    </w:p>
    <w:p w14:paraId="3904C293" w14:textId="77777777" w:rsidR="00AD5813" w:rsidRPr="00AD7686" w:rsidRDefault="00AD5813" w:rsidP="007741A5">
      <w:pPr>
        <w:pStyle w:val="Style40"/>
        <w:widowControl/>
        <w:tabs>
          <w:tab w:val="left" w:pos="907"/>
        </w:tabs>
        <w:spacing w:line="312" w:lineRule="auto"/>
        <w:jc w:val="both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t>Koszty, które zostały poniesione w ramach operacji na szkolenia, konferencje, wyjazdy, które</w:t>
      </w:r>
    </w:p>
    <w:p w14:paraId="06A9455E" w14:textId="77777777" w:rsidR="00AD5813" w:rsidRDefault="00AD5813" w:rsidP="00AD5813">
      <w:pPr>
        <w:pStyle w:val="Style25"/>
        <w:widowControl/>
        <w:spacing w:line="312" w:lineRule="auto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t xml:space="preserve">nie zostały zrealizowane w sposób w jaki zostały zaplanowane, powinny być </w:t>
      </w:r>
      <w:proofErr w:type="gramStart"/>
      <w:r w:rsidRPr="00AD7686">
        <w:rPr>
          <w:rStyle w:val="FontStyle74"/>
          <w:sz w:val="24"/>
          <w:szCs w:val="24"/>
        </w:rPr>
        <w:t>rozliczane</w:t>
      </w:r>
      <w:proofErr w:type="gramEnd"/>
      <w:r w:rsidRPr="00AD7686">
        <w:rPr>
          <w:rStyle w:val="FontStyle74"/>
          <w:sz w:val="24"/>
          <w:szCs w:val="24"/>
        </w:rPr>
        <w:t xml:space="preserve"> jeśli planowane zadanie zostanie zrealizowane na tyle, na ile jest to możliwe w danej sytuacji, umożliwiając tym samym ocenę zrealizowania celu nawet w stopniu minimalnym, np. zrealizowanie zdania w innej formie (szkolenia/konferencje online), albo przesunięte w czasie do realizacji. W przypadku, gdy beneficjent wpłacił już zaliczki na określone usługi w ramach realizowanej operacji</w:t>
      </w:r>
      <w:r w:rsidR="007741A5">
        <w:rPr>
          <w:rStyle w:val="FontStyle74"/>
          <w:sz w:val="24"/>
          <w:szCs w:val="24"/>
        </w:rPr>
        <w:t>,</w:t>
      </w:r>
      <w:r w:rsidRPr="00AD7686">
        <w:rPr>
          <w:rStyle w:val="FontStyle74"/>
          <w:sz w:val="24"/>
          <w:szCs w:val="24"/>
        </w:rPr>
        <w:t xml:space="preserve"> a dostawca usługi jej nie wykonał, beneficjent w pierwszej kolejności powinien podjąć kroki w celu odzyskania zaliczki od </w:t>
      </w:r>
      <w:proofErr w:type="gramStart"/>
      <w:r w:rsidRPr="00AD7686">
        <w:rPr>
          <w:rStyle w:val="FontStyle74"/>
          <w:sz w:val="24"/>
          <w:szCs w:val="24"/>
        </w:rPr>
        <w:t>usługodawcy,</w:t>
      </w:r>
      <w:proofErr w:type="gramEnd"/>
      <w:r w:rsidRPr="00AD7686">
        <w:rPr>
          <w:rStyle w:val="FontStyle74"/>
          <w:sz w:val="24"/>
          <w:szCs w:val="24"/>
        </w:rPr>
        <w:t xml:space="preserve"> lub uzgodnienia realizacji usługi w innym terminie. Dopuszczalna jest również zmiana celu operacji. Możliwość przesunięcia zobowiązania do realizacji w terminie późniejszym </w:t>
      </w:r>
      <w:r w:rsidRPr="00AD7686">
        <w:rPr>
          <w:rStyle w:val="FontStyle82"/>
          <w:sz w:val="24"/>
          <w:szCs w:val="24"/>
        </w:rPr>
        <w:t xml:space="preserve">oraz </w:t>
      </w:r>
      <w:r w:rsidRPr="00AD7686">
        <w:rPr>
          <w:rStyle w:val="FontStyle74"/>
          <w:sz w:val="24"/>
          <w:szCs w:val="24"/>
        </w:rPr>
        <w:t xml:space="preserve">zmiana celu </w:t>
      </w:r>
      <w:r w:rsidRPr="00AD7686">
        <w:rPr>
          <w:rStyle w:val="FontStyle82"/>
          <w:sz w:val="24"/>
          <w:szCs w:val="24"/>
        </w:rPr>
        <w:t xml:space="preserve">operacji </w:t>
      </w:r>
      <w:r w:rsidRPr="00AD7686">
        <w:rPr>
          <w:rStyle w:val="FontStyle74"/>
          <w:sz w:val="24"/>
          <w:szCs w:val="24"/>
        </w:rPr>
        <w:t>dają przepisy zmieniające ustawę o wspieraniu rozwoju obszarów wiejskich. W pozostałych przypadkach zastosowanie będą miały przepisy odnoszące się do siły wyższej i nadzwyczajnych okoliczności. W przypadku zmiany celu czy przesunięcia w czasie wykonania określonego zadania konieczna będzie również zmiana umowy w tym zakresie.</w:t>
      </w:r>
    </w:p>
    <w:p w14:paraId="26D6D0F6" w14:textId="77777777" w:rsidR="007741A5" w:rsidRDefault="007741A5" w:rsidP="007741A5">
      <w:pPr>
        <w:pStyle w:val="Style40"/>
        <w:widowControl/>
        <w:tabs>
          <w:tab w:val="left" w:pos="907"/>
        </w:tabs>
        <w:spacing w:line="312" w:lineRule="auto"/>
        <w:jc w:val="both"/>
        <w:rPr>
          <w:rStyle w:val="FontStyle74"/>
          <w:sz w:val="24"/>
          <w:szCs w:val="24"/>
        </w:rPr>
      </w:pPr>
    </w:p>
    <w:p w14:paraId="1A1B2E7C" w14:textId="77777777" w:rsidR="00AD5813" w:rsidRDefault="00AD5813" w:rsidP="007741A5">
      <w:pPr>
        <w:pStyle w:val="Style40"/>
        <w:widowControl/>
        <w:tabs>
          <w:tab w:val="left" w:pos="907"/>
        </w:tabs>
        <w:spacing w:line="312" w:lineRule="auto"/>
        <w:jc w:val="both"/>
        <w:rPr>
          <w:rStyle w:val="FontStyle74"/>
          <w:b/>
          <w:sz w:val="24"/>
          <w:szCs w:val="24"/>
          <w:u w:val="single"/>
        </w:rPr>
      </w:pPr>
      <w:r w:rsidRPr="0084463D">
        <w:rPr>
          <w:rStyle w:val="FontStyle74"/>
          <w:b/>
          <w:sz w:val="24"/>
          <w:szCs w:val="24"/>
        </w:rPr>
        <w:t>7.</w:t>
      </w:r>
      <w:r w:rsidR="007741A5" w:rsidRPr="0084463D">
        <w:rPr>
          <w:rStyle w:val="FontStyle74"/>
          <w:b/>
          <w:sz w:val="24"/>
          <w:szCs w:val="24"/>
        </w:rPr>
        <w:t xml:space="preserve"> </w:t>
      </w:r>
      <w:r w:rsidRPr="0084463D">
        <w:rPr>
          <w:rStyle w:val="FontStyle74"/>
          <w:b/>
          <w:sz w:val="24"/>
          <w:szCs w:val="24"/>
          <w:u w:val="single"/>
        </w:rPr>
        <w:t>Zobowiązanie do realizacji zadań w ramach projektu grantowego.</w:t>
      </w:r>
    </w:p>
    <w:p w14:paraId="1FD2F89B" w14:textId="77777777" w:rsidR="0084463D" w:rsidRPr="0084463D" w:rsidRDefault="0084463D" w:rsidP="007741A5">
      <w:pPr>
        <w:pStyle w:val="Style40"/>
        <w:widowControl/>
        <w:tabs>
          <w:tab w:val="left" w:pos="907"/>
        </w:tabs>
        <w:spacing w:line="312" w:lineRule="auto"/>
        <w:jc w:val="both"/>
        <w:rPr>
          <w:rStyle w:val="FontStyle74"/>
          <w:b/>
          <w:sz w:val="24"/>
          <w:szCs w:val="24"/>
          <w:u w:val="single"/>
        </w:rPr>
      </w:pPr>
    </w:p>
    <w:p w14:paraId="7B981691" w14:textId="77777777" w:rsidR="00AD5813" w:rsidRPr="00AD7686" w:rsidRDefault="00AD5813" w:rsidP="00AD5813">
      <w:pPr>
        <w:pStyle w:val="Style26"/>
        <w:widowControl/>
        <w:spacing w:line="312" w:lineRule="auto"/>
        <w:ind w:firstLine="696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t xml:space="preserve">W poddziałaniu 19.2 w ramach projektu grantowego, gdzie istnieje konieczność realizacji wszystkich zadań w celu rozliczenia całego projektu grantowego, dopuszczalna jest zmiana celu operacji </w:t>
      </w:r>
      <w:r w:rsidRPr="007741A5">
        <w:rPr>
          <w:rStyle w:val="FontStyle74"/>
          <w:i/>
          <w:iCs/>
          <w:sz w:val="24"/>
          <w:szCs w:val="24"/>
        </w:rPr>
        <w:t xml:space="preserve">(jeśli </w:t>
      </w:r>
      <w:r w:rsidRPr="00AD7686">
        <w:rPr>
          <w:rStyle w:val="FontStyle74"/>
          <w:sz w:val="24"/>
          <w:szCs w:val="24"/>
        </w:rPr>
        <w:t xml:space="preserve">jest tak sformułowany, że niezrealizowanie zadania albo jego części powoduje nieosiągnięcie celu całego projektu) i usunięcie części problematycznych grantów </w:t>
      </w:r>
      <w:r w:rsidRPr="00AD7686">
        <w:rPr>
          <w:rStyle w:val="FontStyle74"/>
          <w:sz w:val="24"/>
          <w:szCs w:val="24"/>
        </w:rPr>
        <w:lastRenderedPageBreak/>
        <w:t>(jeśli nie mogą być zrealizowane). W tym przypadku należy aneksować umowę o przyznaniu pomocy.</w:t>
      </w:r>
    </w:p>
    <w:p w14:paraId="14A6A4BA" w14:textId="77777777" w:rsidR="0084463D" w:rsidRDefault="0084463D" w:rsidP="007741A5">
      <w:pPr>
        <w:pStyle w:val="Style38"/>
        <w:widowControl/>
        <w:tabs>
          <w:tab w:val="left" w:pos="965"/>
        </w:tabs>
        <w:spacing w:line="312" w:lineRule="auto"/>
        <w:ind w:firstLine="0"/>
        <w:jc w:val="both"/>
        <w:rPr>
          <w:rStyle w:val="FontStyle74"/>
          <w:b/>
          <w:sz w:val="24"/>
          <w:szCs w:val="24"/>
        </w:rPr>
      </w:pPr>
    </w:p>
    <w:p w14:paraId="580A2459" w14:textId="77777777" w:rsidR="00AD5813" w:rsidRDefault="00AD5813" w:rsidP="007741A5">
      <w:pPr>
        <w:pStyle w:val="Style38"/>
        <w:widowControl/>
        <w:tabs>
          <w:tab w:val="left" w:pos="965"/>
        </w:tabs>
        <w:spacing w:line="312" w:lineRule="auto"/>
        <w:ind w:firstLine="0"/>
        <w:jc w:val="both"/>
        <w:rPr>
          <w:rStyle w:val="FontStyle74"/>
          <w:b/>
          <w:sz w:val="24"/>
          <w:szCs w:val="24"/>
          <w:u w:val="single"/>
        </w:rPr>
      </w:pPr>
      <w:r w:rsidRPr="0084463D">
        <w:rPr>
          <w:rStyle w:val="FontStyle74"/>
          <w:b/>
          <w:sz w:val="24"/>
          <w:szCs w:val="24"/>
        </w:rPr>
        <w:t>8.</w:t>
      </w:r>
      <w:r w:rsidR="007741A5" w:rsidRPr="0084463D">
        <w:rPr>
          <w:rStyle w:val="FontStyle74"/>
          <w:b/>
          <w:sz w:val="24"/>
          <w:szCs w:val="24"/>
        </w:rPr>
        <w:t xml:space="preserve"> </w:t>
      </w:r>
      <w:r w:rsidRPr="0084463D">
        <w:rPr>
          <w:rStyle w:val="FontStyle74"/>
          <w:b/>
          <w:sz w:val="24"/>
          <w:szCs w:val="24"/>
          <w:u w:val="single"/>
        </w:rPr>
        <w:t>Zobowiązanie do zatrudnienia osób z grupy defaworyzowanej.</w:t>
      </w:r>
    </w:p>
    <w:p w14:paraId="18214DB1" w14:textId="77777777" w:rsidR="0084463D" w:rsidRPr="0084463D" w:rsidRDefault="0084463D" w:rsidP="007741A5">
      <w:pPr>
        <w:pStyle w:val="Style38"/>
        <w:widowControl/>
        <w:tabs>
          <w:tab w:val="left" w:pos="965"/>
        </w:tabs>
        <w:spacing w:line="312" w:lineRule="auto"/>
        <w:ind w:firstLine="0"/>
        <w:jc w:val="both"/>
        <w:rPr>
          <w:rStyle w:val="FontStyle74"/>
          <w:b/>
          <w:sz w:val="24"/>
          <w:szCs w:val="24"/>
          <w:u w:val="single"/>
        </w:rPr>
      </w:pPr>
    </w:p>
    <w:p w14:paraId="50AE2D3B" w14:textId="77777777" w:rsidR="00AD5813" w:rsidRDefault="00AD5813" w:rsidP="00AD5813">
      <w:pPr>
        <w:pStyle w:val="Style26"/>
        <w:widowControl/>
        <w:spacing w:line="312" w:lineRule="auto"/>
        <w:rPr>
          <w:rStyle w:val="FontStyle74"/>
          <w:sz w:val="24"/>
          <w:szCs w:val="24"/>
        </w:rPr>
      </w:pPr>
      <w:r w:rsidRPr="00AD7686">
        <w:rPr>
          <w:rStyle w:val="FontStyle74"/>
          <w:sz w:val="24"/>
          <w:szCs w:val="24"/>
        </w:rPr>
        <w:t>Dopuszczalne jest odstąpienie od egzekwowania ww. warunku w uzgodnieniu z lokalną grupą działania (LGD), w sytuacji, gdy zatrudnienie tych osób stało się niemożliwe z przyczyn związanych z</w:t>
      </w:r>
      <w:r w:rsidR="007741A5">
        <w:rPr>
          <w:rStyle w:val="FontStyle74"/>
          <w:sz w:val="24"/>
          <w:szCs w:val="24"/>
        </w:rPr>
        <w:t xml:space="preserve"> </w:t>
      </w:r>
      <w:r w:rsidRPr="00AD7686">
        <w:rPr>
          <w:rStyle w:val="FontStyle74"/>
          <w:sz w:val="24"/>
          <w:szCs w:val="24"/>
        </w:rPr>
        <w:t>CO</w:t>
      </w:r>
      <w:r w:rsidR="007741A5">
        <w:rPr>
          <w:rStyle w:val="FontStyle74"/>
          <w:sz w:val="24"/>
          <w:szCs w:val="24"/>
        </w:rPr>
        <w:t>VI</w:t>
      </w:r>
      <w:r w:rsidRPr="00AD7686">
        <w:rPr>
          <w:rStyle w:val="FontStyle74"/>
          <w:sz w:val="24"/>
          <w:szCs w:val="24"/>
        </w:rPr>
        <w:t>D-19. W tym przypadku również zastosowanie będą miały postanowienia dotyczące siły wyższej i nadzwyczajnych okoliczności. Konieczne będzie aneksowanie umów w tym zakresie.</w:t>
      </w:r>
    </w:p>
    <w:p w14:paraId="450A1789" w14:textId="77777777" w:rsidR="007741A5" w:rsidRPr="00AD7686" w:rsidRDefault="007741A5" w:rsidP="00AD5813">
      <w:pPr>
        <w:pStyle w:val="Style26"/>
        <w:widowControl/>
        <w:spacing w:line="312" w:lineRule="auto"/>
        <w:rPr>
          <w:rStyle w:val="FontStyle74"/>
          <w:sz w:val="24"/>
          <w:szCs w:val="24"/>
        </w:rPr>
      </w:pPr>
    </w:p>
    <w:p w14:paraId="777B223F" w14:textId="77777777" w:rsidR="00AE4222" w:rsidRDefault="00AE4222" w:rsidP="00AD5813">
      <w:pPr>
        <w:spacing w:line="312" w:lineRule="auto"/>
        <w:jc w:val="both"/>
        <w:rPr>
          <w:rStyle w:val="FontStyle74"/>
          <w:sz w:val="24"/>
          <w:szCs w:val="24"/>
        </w:rPr>
      </w:pPr>
    </w:p>
    <w:p w14:paraId="49DDC46C" w14:textId="2D230538" w:rsidR="00E11482" w:rsidRPr="00924376" w:rsidRDefault="006A5D33" w:rsidP="00AD5813">
      <w:pPr>
        <w:spacing w:line="312" w:lineRule="auto"/>
        <w:jc w:val="both"/>
        <w:rPr>
          <w:rStyle w:val="FontStyle74"/>
          <w:b/>
          <w:sz w:val="24"/>
          <w:szCs w:val="24"/>
        </w:rPr>
      </w:pPr>
      <w:r>
        <w:rPr>
          <w:rStyle w:val="FontStyle74"/>
          <w:b/>
          <w:sz w:val="24"/>
          <w:szCs w:val="24"/>
        </w:rPr>
        <w:t>9</w:t>
      </w:r>
      <w:r w:rsidR="00E11482" w:rsidRPr="00924376">
        <w:rPr>
          <w:rStyle w:val="FontStyle74"/>
          <w:b/>
          <w:sz w:val="24"/>
          <w:szCs w:val="24"/>
        </w:rPr>
        <w:t xml:space="preserve">. </w:t>
      </w:r>
      <w:r w:rsidR="00E11482" w:rsidRPr="00924376">
        <w:rPr>
          <w:rStyle w:val="FontStyle74"/>
          <w:b/>
          <w:sz w:val="24"/>
          <w:szCs w:val="24"/>
          <w:u w:val="single"/>
        </w:rPr>
        <w:t>„Przebranżowienie”</w:t>
      </w:r>
      <w:r w:rsidR="00E11482" w:rsidRPr="00924376">
        <w:rPr>
          <w:rStyle w:val="FontStyle74"/>
          <w:b/>
          <w:sz w:val="24"/>
          <w:szCs w:val="24"/>
        </w:rPr>
        <w:t xml:space="preserve"> </w:t>
      </w:r>
    </w:p>
    <w:p w14:paraId="5BC52EB0" w14:textId="77777777" w:rsidR="00924376" w:rsidRDefault="00924376" w:rsidP="00AD5813">
      <w:pPr>
        <w:spacing w:line="312" w:lineRule="auto"/>
        <w:jc w:val="both"/>
      </w:pPr>
    </w:p>
    <w:p w14:paraId="369CEC68" w14:textId="77777777" w:rsidR="00E11482" w:rsidRDefault="00E11482" w:rsidP="00AD5813">
      <w:pPr>
        <w:spacing w:line="312" w:lineRule="auto"/>
        <w:jc w:val="both"/>
      </w:pPr>
      <w:r>
        <w:t>D</w:t>
      </w:r>
      <w:r w:rsidRPr="00E11482">
        <w:t xml:space="preserve">opuszczalne jest tzw. „przebranżowienie" w ramach realizowanej operacji, aby umożliwić beneficjentom poddziałania 19.2 utrzymanie się na rynku, </w:t>
      </w:r>
      <w:r>
        <w:t xml:space="preserve">jednakże </w:t>
      </w:r>
      <w:r w:rsidRPr="00E11482">
        <w:t>po uzyskaniu pozytywnej opinii lokalnej grupy działania, która dokonała wyboru danej operacji do realizacji.</w:t>
      </w:r>
    </w:p>
    <w:sectPr w:rsidR="00E11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34E06"/>
    <w:multiLevelType w:val="singleLevel"/>
    <w:tmpl w:val="1FF43AF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13"/>
    <w:rsid w:val="00097200"/>
    <w:rsid w:val="000A58E8"/>
    <w:rsid w:val="00123D12"/>
    <w:rsid w:val="00303B3B"/>
    <w:rsid w:val="00315055"/>
    <w:rsid w:val="00566968"/>
    <w:rsid w:val="006A5D33"/>
    <w:rsid w:val="0070516F"/>
    <w:rsid w:val="007741A5"/>
    <w:rsid w:val="0082233A"/>
    <w:rsid w:val="0084463D"/>
    <w:rsid w:val="00924376"/>
    <w:rsid w:val="00932FAB"/>
    <w:rsid w:val="00AD5813"/>
    <w:rsid w:val="00AE4222"/>
    <w:rsid w:val="00B40143"/>
    <w:rsid w:val="00C60E40"/>
    <w:rsid w:val="00CD20B2"/>
    <w:rsid w:val="00D229D8"/>
    <w:rsid w:val="00DB569D"/>
    <w:rsid w:val="00E11482"/>
    <w:rsid w:val="00F80629"/>
    <w:rsid w:val="00F90D22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1E09"/>
  <w15:chartTrackingRefBased/>
  <w15:docId w15:val="{E63EECAD-0940-4659-98C5-200B2CF5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5">
    <w:name w:val="Style25"/>
    <w:basedOn w:val="Normalny"/>
    <w:uiPriority w:val="99"/>
    <w:rsid w:val="00AD5813"/>
    <w:pPr>
      <w:spacing w:line="369" w:lineRule="exact"/>
      <w:jc w:val="both"/>
    </w:pPr>
  </w:style>
  <w:style w:type="paragraph" w:customStyle="1" w:styleId="Style26">
    <w:name w:val="Style26"/>
    <w:basedOn w:val="Normalny"/>
    <w:uiPriority w:val="99"/>
    <w:rsid w:val="00AD5813"/>
    <w:pPr>
      <w:spacing w:line="370" w:lineRule="exact"/>
      <w:ind w:firstLine="691"/>
      <w:jc w:val="both"/>
    </w:pPr>
  </w:style>
  <w:style w:type="paragraph" w:customStyle="1" w:styleId="Style36">
    <w:name w:val="Style36"/>
    <w:basedOn w:val="Normalny"/>
    <w:uiPriority w:val="99"/>
    <w:rsid w:val="00AD5813"/>
    <w:pPr>
      <w:spacing w:line="368" w:lineRule="exact"/>
      <w:ind w:firstLine="696"/>
      <w:jc w:val="both"/>
    </w:pPr>
  </w:style>
  <w:style w:type="paragraph" w:customStyle="1" w:styleId="Style38">
    <w:name w:val="Style38"/>
    <w:basedOn w:val="Normalny"/>
    <w:uiPriority w:val="99"/>
    <w:rsid w:val="00AD5813"/>
    <w:pPr>
      <w:spacing w:line="281" w:lineRule="exact"/>
      <w:ind w:firstLine="691"/>
    </w:pPr>
  </w:style>
  <w:style w:type="paragraph" w:customStyle="1" w:styleId="Style40">
    <w:name w:val="Style40"/>
    <w:basedOn w:val="Normalny"/>
    <w:uiPriority w:val="99"/>
    <w:rsid w:val="00AD5813"/>
    <w:pPr>
      <w:spacing w:line="365" w:lineRule="exact"/>
    </w:pPr>
  </w:style>
  <w:style w:type="character" w:customStyle="1" w:styleId="FontStyle74">
    <w:name w:val="Font Style74"/>
    <w:basedOn w:val="Domylnaczcionkaakapitu"/>
    <w:uiPriority w:val="99"/>
    <w:rsid w:val="00AD5813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D5813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Domylnaczcionkaakapitu"/>
    <w:uiPriority w:val="99"/>
    <w:rsid w:val="00AD5813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84">
    <w:name w:val="Font Style84"/>
    <w:basedOn w:val="Domylnaczcionkaakapitu"/>
    <w:uiPriority w:val="99"/>
    <w:rsid w:val="00AD5813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4C6AE-2C67-45F6-A536-562F0058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2186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Marczak</dc:creator>
  <cp:keywords/>
  <dc:description/>
  <cp:lastModifiedBy>Piotr Kędzia</cp:lastModifiedBy>
  <cp:revision>2</cp:revision>
  <dcterms:created xsi:type="dcterms:W3CDTF">2020-05-13T05:45:00Z</dcterms:created>
  <dcterms:modified xsi:type="dcterms:W3CDTF">2020-05-13T05:45:00Z</dcterms:modified>
</cp:coreProperties>
</file>